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42" w:rsidRPr="00F70C0B" w:rsidRDefault="00A33E42" w:rsidP="00A33E42">
      <w:pPr>
        <w:pStyle w:val="Heading10"/>
        <w:keepNext/>
        <w:keepLines/>
        <w:shd w:val="clear" w:color="auto" w:fill="auto"/>
        <w:spacing w:before="20" w:after="0" w:line="240" w:lineRule="auto"/>
        <w:rPr>
          <w:sz w:val="24"/>
          <w:szCs w:val="24"/>
        </w:rPr>
      </w:pPr>
      <w:r w:rsidRPr="00F70C0B">
        <w:rPr>
          <w:rStyle w:val="Heading1"/>
          <w:b/>
          <w:bCs/>
          <w:color w:val="000000"/>
          <w:sz w:val="24"/>
          <w:szCs w:val="24"/>
          <w:lang w:eastAsia="vi-VN"/>
        </w:rPr>
        <w:t xml:space="preserve">Phụ lục </w:t>
      </w:r>
      <w:r w:rsidRPr="00F70C0B">
        <w:rPr>
          <w:rStyle w:val="Heading1"/>
          <w:b/>
          <w:bCs/>
          <w:color w:val="000000"/>
          <w:sz w:val="24"/>
          <w:szCs w:val="24"/>
        </w:rPr>
        <w:t>II</w:t>
      </w:r>
    </w:p>
    <w:p w:rsidR="00A33E42" w:rsidRPr="00F70C0B" w:rsidRDefault="00A33E42" w:rsidP="00A33E42">
      <w:pPr>
        <w:pStyle w:val="Heading10"/>
        <w:keepNext/>
        <w:keepLines/>
        <w:shd w:val="clear" w:color="auto" w:fill="auto"/>
        <w:spacing w:before="20" w:after="0" w:line="240" w:lineRule="auto"/>
        <w:rPr>
          <w:sz w:val="24"/>
          <w:szCs w:val="24"/>
        </w:rPr>
      </w:pPr>
      <w:bookmarkStart w:id="0" w:name="bookmark14"/>
      <w:bookmarkStart w:id="1" w:name="bookmark15"/>
      <w:r w:rsidRPr="00F70C0B">
        <w:rPr>
          <w:rStyle w:val="Heading1"/>
          <w:b/>
          <w:bCs/>
          <w:color w:val="000000"/>
          <w:sz w:val="24"/>
          <w:szCs w:val="24"/>
          <w:lang w:eastAsia="vi-VN"/>
        </w:rPr>
        <w:t xml:space="preserve">TÀI LIỆU CHỨNG </w:t>
      </w:r>
      <w:r w:rsidRPr="00F70C0B">
        <w:rPr>
          <w:rStyle w:val="Heading1"/>
          <w:b/>
          <w:bCs/>
          <w:color w:val="000000"/>
          <w:sz w:val="24"/>
          <w:szCs w:val="24"/>
        </w:rPr>
        <w:t xml:space="preserve">MINH </w:t>
      </w:r>
      <w:r w:rsidRPr="00F70C0B">
        <w:rPr>
          <w:rStyle w:val="Heading1"/>
          <w:b/>
          <w:bCs/>
          <w:color w:val="000000"/>
          <w:sz w:val="24"/>
          <w:szCs w:val="24"/>
          <w:lang w:eastAsia="vi-VN"/>
        </w:rPr>
        <w:t xml:space="preserve">TUÂN THỦ TIÊU CHÍ PHÂN LOẠI </w:t>
      </w:r>
      <w:r w:rsidRPr="00F70C0B">
        <w:rPr>
          <w:rStyle w:val="Heading1"/>
          <w:b/>
          <w:bCs/>
          <w:color w:val="000000"/>
          <w:sz w:val="24"/>
          <w:szCs w:val="24"/>
        </w:rPr>
        <w:t xml:space="preserve">DOANH </w:t>
      </w:r>
      <w:r w:rsidRPr="00F70C0B">
        <w:rPr>
          <w:rStyle w:val="Heading1"/>
          <w:b/>
          <w:bCs/>
          <w:color w:val="000000"/>
          <w:sz w:val="24"/>
          <w:szCs w:val="24"/>
          <w:lang w:eastAsia="vi-VN"/>
        </w:rPr>
        <w:t>NGHIỆP</w:t>
      </w:r>
      <w:bookmarkEnd w:id="0"/>
      <w:bookmarkEnd w:id="1"/>
    </w:p>
    <w:p w:rsidR="00A33E42" w:rsidRPr="00F70C0B" w:rsidRDefault="00A33E42" w:rsidP="00A33E42">
      <w:pPr>
        <w:pStyle w:val="Bodytext20"/>
        <w:shd w:val="clear" w:color="auto" w:fill="auto"/>
        <w:spacing w:before="20" w:after="0"/>
        <w:ind w:firstLine="0"/>
        <w:jc w:val="center"/>
        <w:rPr>
          <w:rStyle w:val="Bodytext2"/>
          <w:i/>
          <w:iCs/>
          <w:color w:val="000000"/>
          <w:lang w:eastAsia="vi-VN"/>
        </w:rPr>
      </w:pPr>
      <w:r w:rsidRPr="00F70C0B">
        <w:rPr>
          <w:rStyle w:val="Bodytext2"/>
          <w:i/>
          <w:iCs/>
          <w:color w:val="000000"/>
          <w:lang w:eastAsia="vi-VN"/>
        </w:rPr>
        <w:t>(Kèm theo Thông tư số: 21/2021/TT-BNPTNT ngày 29 tháng 12 năm 2021 của Bộ trưởng Bộ Nông nghiệp và Phát triển nông thôn)</w:t>
      </w:r>
    </w:p>
    <w:p w:rsidR="00A33E42" w:rsidRPr="00F70C0B" w:rsidRDefault="00A33E42" w:rsidP="00A33E42">
      <w:pPr>
        <w:pStyle w:val="Bodytext20"/>
        <w:shd w:val="clear" w:color="auto" w:fill="auto"/>
        <w:spacing w:before="20" w:after="0"/>
        <w:ind w:firstLine="0"/>
        <w:jc w:val="center"/>
      </w:pPr>
      <w:r w:rsidRPr="00F70C0B">
        <w:t>_______________________</w:t>
      </w:r>
    </w:p>
    <w:p w:rsidR="00A33E42" w:rsidRPr="00F70C0B" w:rsidRDefault="00A33E42" w:rsidP="00A33E42">
      <w:pPr>
        <w:pStyle w:val="Bodytext20"/>
        <w:shd w:val="clear" w:color="auto" w:fill="auto"/>
        <w:spacing w:before="20" w:after="0"/>
        <w:ind w:firstLine="0"/>
        <w:jc w:val="center"/>
      </w:pPr>
    </w:p>
    <w:tbl>
      <w:tblPr>
        <w:tblW w:w="5000" w:type="pct"/>
        <w:jc w:val="center"/>
        <w:tblCellMar>
          <w:left w:w="0" w:type="dxa"/>
          <w:right w:w="0" w:type="dxa"/>
        </w:tblCellMar>
        <w:tblLook w:val="0000" w:firstRow="0" w:lastRow="0" w:firstColumn="0" w:lastColumn="0" w:noHBand="0" w:noVBand="0"/>
      </w:tblPr>
      <w:tblGrid>
        <w:gridCol w:w="818"/>
        <w:gridCol w:w="8253"/>
        <w:gridCol w:w="6077"/>
      </w:tblGrid>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b/>
                <w:bCs/>
                <w:color w:val="000000"/>
                <w:sz w:val="24"/>
                <w:szCs w:val="24"/>
                <w:lang w:eastAsia="vi-VN"/>
              </w:rPr>
              <w:t>STT</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b/>
                <w:bCs/>
                <w:color w:val="000000"/>
                <w:sz w:val="24"/>
                <w:szCs w:val="24"/>
                <w:lang w:eastAsia="vi-VN"/>
              </w:rPr>
              <w:t>TIÊU CHÍ PHÂN LOẠI DOANH NGHIỆP (Phụ lục II ban hành kèm theo Nghị định số 102/2020/NĐ-CP)</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b/>
                <w:bCs/>
                <w:color w:val="000000"/>
                <w:sz w:val="24"/>
                <w:szCs w:val="24"/>
                <w:lang w:eastAsia="vi-VN"/>
              </w:rPr>
              <w:t>TÀI LIỆU CHỨNG MINH</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b/>
                <w:bCs/>
                <w:color w:val="000000"/>
                <w:sz w:val="24"/>
                <w:szCs w:val="24"/>
                <w:lang w:eastAsia="vi-VN"/>
              </w:rPr>
              <w:t>I</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b/>
                <w:bCs/>
                <w:color w:val="000000"/>
                <w:sz w:val="24"/>
                <w:szCs w:val="24"/>
                <w:lang w:eastAsia="vi-VN"/>
              </w:rPr>
              <w:t xml:space="preserve">TUÂN THỦ QUY ĐỊNH CỦA PHÁP LUẬT TRONG VIỆC THÀNH LẬP VÀ HOẠT </w:t>
            </w:r>
            <w:r w:rsidRPr="00F70C0B">
              <w:rPr>
                <w:rStyle w:val="Other"/>
                <w:b/>
                <w:bCs/>
                <w:smallCaps/>
                <w:color w:val="000000"/>
                <w:sz w:val="24"/>
                <w:szCs w:val="24"/>
                <w:lang w:eastAsia="vi-VN"/>
              </w:rPr>
              <w:t>ĐỘnG CỦA DOANH NGHIỆP</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1</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thành lập doanh nghiệp phải có các loại tài liệu</w:t>
            </w:r>
          </w:p>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sau:</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a</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Giấy chứng nhận đăng ký doanh nghiệp (đối với doanh nghiệp không có vốn đầu tư nước ngoài).</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Giấy chứng nhận đăng ký đăng ký doanh nghiệp.</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b</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Giấy chứng nhận đăng ký đầu tư đối với doanh nghiệp có vốn đầu tư nước ngoài hoặc có yếu tố nước ngoài chiếm 51% vốn điều lệ hoặc doanh nghiệp hoạt động trong khu công nghiệp, khu chế xuất.</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Giấy chứng nhận đăng ký đầu tư.</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2</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môi trường phải có một trong các loại tài liệu</w:t>
            </w:r>
          </w:p>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sau:</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a</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spacing w:before="20"/>
              <w:rPr>
                <w:rFonts w:cs="Times New Roman"/>
              </w:rPr>
            </w:pPr>
            <w:r w:rsidRPr="00F70C0B">
              <w:rPr>
                <w:rStyle w:val="Other"/>
                <w:sz w:val="24"/>
                <w:szCs w:val="24"/>
              </w:rPr>
              <w:t>Quyết định phê duyệt báo cáo đánh giá tác động môi trường đối với cơ sở chế biến 3</w:t>
            </w:r>
          </w:p>
          <w:p w:rsidR="00A33E42" w:rsidRPr="00F70C0B" w:rsidRDefault="00A33E42" w:rsidP="00A8105D">
            <w:pPr>
              <w:spacing w:before="20"/>
              <w:rPr>
                <w:rFonts w:cs="Times New Roman"/>
              </w:rPr>
            </w:pPr>
            <w:r w:rsidRPr="00F70C0B">
              <w:rPr>
                <w:rStyle w:val="Other"/>
                <w:sz w:val="24"/>
                <w:szCs w:val="24"/>
              </w:rPr>
              <w:t>gỗ, dăm gỗ từ gỗ rừng tự nhiên có công suất từ 5.000 m sản phẩm/năm trở lên.</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Quyết định phê duyệt báo cáo đánh giá tác động môi trường theo quy định của pháp luật về bảo vệ môi trường.</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b</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Quyết định phê duyệt báo cáo đánh giá tác động môi trường đối với cơ sở sản xuất ván ép có công suất từ 100.000 m</w:t>
            </w:r>
            <w:r w:rsidRPr="00F70C0B">
              <w:rPr>
                <w:rStyle w:val="Other"/>
                <w:color w:val="000000"/>
                <w:sz w:val="24"/>
                <w:szCs w:val="24"/>
                <w:vertAlign w:val="superscript"/>
                <w:lang w:eastAsia="vi-VN"/>
              </w:rPr>
              <w:t>2</w:t>
            </w:r>
            <w:r w:rsidRPr="00F70C0B">
              <w:rPr>
                <w:rStyle w:val="Other"/>
                <w:color w:val="000000"/>
                <w:sz w:val="24"/>
                <w:szCs w:val="24"/>
                <w:lang w:eastAsia="vi-VN"/>
              </w:rPr>
              <w:t xml:space="preserve"> sản phẩm/năm trở lên.</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Quyết định phê duyệt báo cáo đánh giá tác động môi trường theo quy định của pháp luật về bảo vệ môi trường.</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c</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Quyết định phê duyệt báo cáo đánh giá tác động môi trường đối với cơ sở sản xuất đồ gỗ có tổng diện tích kho bãi, nhà xưởng từ 10.000 m</w:t>
            </w:r>
            <w:r w:rsidRPr="00F70C0B">
              <w:rPr>
                <w:rStyle w:val="Other"/>
                <w:color w:val="000000"/>
                <w:sz w:val="24"/>
                <w:szCs w:val="24"/>
                <w:vertAlign w:val="superscript"/>
                <w:lang w:eastAsia="vi-VN"/>
              </w:rPr>
              <w:t>2</w:t>
            </w:r>
            <w:r w:rsidRPr="00F70C0B">
              <w:rPr>
                <w:rStyle w:val="Other"/>
                <w:color w:val="000000"/>
                <w:sz w:val="24"/>
                <w:szCs w:val="24"/>
                <w:lang w:eastAsia="vi-VN"/>
              </w:rPr>
              <w:t xml:space="preserve"> trở lên.</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Quyết định phê duyệt báo cáo đánh giá tác động môi trường theo quy định của pháp luật về bảo vệ môi trường.</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lastRenderedPageBreak/>
              <w:t>d</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Có kế hoạch bảo vệ môi trường đối với các cơ sở sản xuất có công suất hay diện tích nhỏ hơn công suất hoặc diện tích của các cơ sở sản xuất quy định tại các điểm a, b, c nêu trên.</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Giấy xác nhận kế hoạch bảo vệ môi trường theo quy định của pháp luật về bảo vệ môi trường.</w:t>
            </w:r>
          </w:p>
        </w:tc>
      </w:tr>
      <w:tr w:rsidR="00A33E42" w:rsidRPr="00F70C0B" w:rsidTr="00A8105D">
        <w:trPr>
          <w:trHeight w:val="864"/>
          <w:jc w:val="center"/>
        </w:trPr>
        <w:tc>
          <w:tcPr>
            <w:tcW w:w="270" w:type="pct"/>
            <w:tcBorders>
              <w:top w:val="single" w:sz="4" w:space="0" w:color="auto"/>
              <w:left w:val="single" w:sz="4" w:space="0" w:color="auto"/>
              <w:bottom w:val="single" w:sz="4" w:space="0" w:color="auto"/>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3</w:t>
            </w:r>
          </w:p>
        </w:tc>
        <w:tc>
          <w:tcPr>
            <w:tcW w:w="2724" w:type="pct"/>
            <w:tcBorders>
              <w:top w:val="single" w:sz="4" w:space="0" w:color="auto"/>
              <w:left w:val="single" w:sz="4" w:space="0" w:color="auto"/>
              <w:bottom w:val="single" w:sz="4" w:space="0" w:color="auto"/>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phòng cháy, chữa cháy phải có tài liệu sau:</w:t>
            </w:r>
          </w:p>
        </w:tc>
        <w:tc>
          <w:tcPr>
            <w:tcW w:w="2006" w:type="pct"/>
            <w:tcBorders>
              <w:top w:val="single" w:sz="4" w:space="0" w:color="auto"/>
              <w:left w:val="single" w:sz="4" w:space="0" w:color="auto"/>
              <w:bottom w:val="single" w:sz="4" w:space="0" w:color="auto"/>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b/>
                <w:bCs/>
                <w:color w:val="000000"/>
                <w:sz w:val="24"/>
                <w:szCs w:val="24"/>
              </w:rPr>
              <w:t>-</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 xml:space="preserve">Phương án phòng cháy, chữa cháy </w:t>
            </w:r>
            <w:r w:rsidRPr="00F70C0B">
              <w:rPr>
                <w:rStyle w:val="Other"/>
                <w:color w:val="000000"/>
                <w:sz w:val="24"/>
                <w:szCs w:val="24"/>
              </w:rPr>
              <w:t xml:space="preserve">theo quy </w:t>
            </w:r>
            <w:r w:rsidRPr="00F70C0B">
              <w:rPr>
                <w:rStyle w:val="Other"/>
                <w:color w:val="000000"/>
                <w:sz w:val="24"/>
                <w:szCs w:val="24"/>
                <w:lang w:eastAsia="vi-VN"/>
              </w:rPr>
              <w:t>định pháp luật.</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Tài liệu chứng minh tuân thủ quy định về phòng cháy và chữa cháy đang có hiệu lực thi hành theo quy định của pháp luật về phòng cháy, chữa cháy.</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4</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theo dõi nhập, xuất lâm sản phải có tài liệu sau:</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Sổ theo dõi nhập, xuất lâm sản được ghi chép đầy đủ theo đúng quy định pháp luật.</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Sổ theo dõi nhập, xuất lâm sản theo quy định của Bộ trưởng Bộ Nông nghiệp và Phát triển nông thôn về quản lý truy xuất nguồn gốc lâm sản trong thời hạn 12 tháng tính đến ngày đăng ký phân loại doanh nghiệp.</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5</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thuế, lao động phải bảo đảm các tiêu chí sau:</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a</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Không có tên trong danh sách công khai thông tin tổ chức, cá nhân kinh doanh có dấu hiệu vi phạm pháp luật về thuế.</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Tài liệu theo Mẫu số 01 Phụ lục I ban hành kèm theo Thông tư này</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b</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Có kế hoạch vệ sinh an toàn lao động theo quy định của pháp luật.</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Kế hoạch an toàn, vệ sinh lao động đang có hiệu lực thi hành theo quy định của pháp luật về an toàn, vệ sinh lao động trong năm đăng ký phân loại.</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c</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Người lao động có tên trong danh sách bảng lương của doanh nghiệp.</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Danh sách người lao động kèm theo mã số Bảo hiểm xã hội của doanh nghiệp từng tháng trong 12 tháng liên tiếp tính đến ngày đăng ký phân loại.</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d</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Niêm yết công khai thông tin về đóng bảo hiểm xã hội và y tế đối với người lao động theo quy định của Luật Bảo hiểm xã hội.</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 chụp niêm yết công khai thông tin về việc đóng bảo hiểm xã hội và y tế đối với người lao động theo quy định của Luật Bảo hiểm xã hội trong năm đăng ký phân loại.</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lang w:eastAsia="vi-VN"/>
              </w:rPr>
              <w:t>đ</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Người lao động là thành viên tổ chức Công đoàn của doanh nghiệp.</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 xml:space="preserve">Quyết định thành lập tổ chức công đoàn của doanh nghiệp đang có hiệu lực thi hành hoặc danh sách người lao động là thành viên tổ chức công đoàn của doanh nghiệp theo quy định </w:t>
            </w:r>
            <w:r w:rsidRPr="00F70C0B">
              <w:rPr>
                <w:rStyle w:val="Other"/>
                <w:color w:val="000000"/>
                <w:sz w:val="24"/>
                <w:szCs w:val="24"/>
                <w:lang w:eastAsia="vi-VN"/>
              </w:rPr>
              <w:lastRenderedPageBreak/>
              <w:t>của pháp luật về Công đoàn trong năm đăng ký phân loại.</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b/>
                <w:bCs/>
                <w:color w:val="000000"/>
                <w:sz w:val="24"/>
                <w:szCs w:val="24"/>
              </w:rPr>
              <w:lastRenderedPageBreak/>
              <w:t>II</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b/>
                <w:bCs/>
                <w:color w:val="000000"/>
                <w:sz w:val="24"/>
                <w:szCs w:val="24"/>
                <w:lang w:eastAsia="vi-VN"/>
              </w:rPr>
              <w:t>TUÂN THỦ QUY ĐỊNH CỦA PHÁP LUẬT VỀ NGUỒN GỐC GỖ HỢP PHÁP</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1</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hồ sơ khai thác gỗ đối với doanh nghiệp chế biến và xuất khẩu gỗ trực tiếp khai thác gỗ làm nguyên liệu chế biến:</w:t>
            </w:r>
          </w:p>
        </w:tc>
        <w:tc>
          <w:tcPr>
            <w:tcW w:w="2006" w:type="pct"/>
            <w:vMerge w:val="restar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tổng hợp hồ sơ gỗ khai thác theo Mẫu số 06 Phụ lục I ban hành kèm theo Thông tư này.</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a</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Chấp hành quy định về trình tự, thủ tục khai thác gỗ.</w:t>
            </w:r>
          </w:p>
        </w:tc>
        <w:tc>
          <w:tcPr>
            <w:tcW w:w="2006" w:type="pct"/>
            <w:vMerge/>
            <w:tcBorders>
              <w:top w:val="nil"/>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p>
        </w:tc>
      </w:tr>
      <w:tr w:rsidR="00A33E42" w:rsidRPr="00F70C0B" w:rsidTr="00A8105D">
        <w:trPr>
          <w:trHeight w:val="864"/>
          <w:jc w:val="center"/>
        </w:trPr>
        <w:tc>
          <w:tcPr>
            <w:tcW w:w="270" w:type="pct"/>
            <w:tcBorders>
              <w:top w:val="single" w:sz="4" w:space="0" w:color="auto"/>
              <w:left w:val="single" w:sz="4" w:space="0" w:color="auto"/>
              <w:bottom w:val="single" w:sz="4" w:space="0" w:color="auto"/>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b</w:t>
            </w:r>
          </w:p>
        </w:tc>
        <w:tc>
          <w:tcPr>
            <w:tcW w:w="2724" w:type="pct"/>
            <w:tcBorders>
              <w:top w:val="single" w:sz="4" w:space="0" w:color="auto"/>
              <w:left w:val="single" w:sz="4" w:space="0" w:color="auto"/>
              <w:bottom w:val="single" w:sz="4" w:space="0" w:color="auto"/>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kê gỗ theo quy định của pháp luật.</w:t>
            </w:r>
          </w:p>
        </w:tc>
        <w:tc>
          <w:tcPr>
            <w:tcW w:w="2006" w:type="pct"/>
            <w:vMerge/>
            <w:tcBorders>
              <w:top w:val="nil"/>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c</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 sao hồ sơ nguồn gốc gỗ khai thác.</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2</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hồ sơ gỗ sau xử lý tịch thu đối với doanh nghiệp chế biến và xuất khẩu gỗ sử dụng gỗ sau tịch thu làm nguyên liệu chế biến:</w:t>
            </w:r>
          </w:p>
        </w:tc>
        <w:tc>
          <w:tcPr>
            <w:tcW w:w="2006" w:type="pct"/>
            <w:vMerge w:val="restar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tổng hợp hồ sơ gỗ sau xử lý tịch thu theo Mẫu số 06 Phụ lục I ban hành kèm theo Thông tư này.</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a</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kê gỗ theo quy định của pháp luật.</w:t>
            </w:r>
          </w:p>
        </w:tc>
        <w:tc>
          <w:tcPr>
            <w:tcW w:w="2006" w:type="pct"/>
            <w:vMerge/>
            <w:tcBorders>
              <w:top w:val="nil"/>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b</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 sao hồ sơ gỗ sau xử lý tịch thu.</w:t>
            </w:r>
          </w:p>
        </w:tc>
        <w:tc>
          <w:tcPr>
            <w:tcW w:w="2006" w:type="pct"/>
            <w:vMerge/>
            <w:tcBorders>
              <w:top w:val="nil"/>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3</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hồ sơ gỗ nhập khẩu đối với doanh nghiệp chế biến và xuất khẩu gỗ sử dụng gỗ nhập khẩu làm nguyên liệu chế biến:</w:t>
            </w:r>
          </w:p>
        </w:tc>
        <w:tc>
          <w:tcPr>
            <w:tcW w:w="2006" w:type="pct"/>
            <w:vMerge w:val="restar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tổng hợp hồ sơ hồ sơ gỗ nhập khẩu theo Mẫu số 06 Phụ lục I ban hành kèm theo Thông tư này.</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a</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kê gỗ theo quy định của pháp luật.</w:t>
            </w:r>
          </w:p>
        </w:tc>
        <w:tc>
          <w:tcPr>
            <w:tcW w:w="2006" w:type="pct"/>
            <w:vMerge/>
            <w:tcBorders>
              <w:top w:val="nil"/>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lastRenderedPageBreak/>
              <w:t>b</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 sao hồ sơ gỗ nhập khẩu.</w:t>
            </w:r>
          </w:p>
        </w:tc>
        <w:tc>
          <w:tcPr>
            <w:tcW w:w="2006" w:type="pct"/>
            <w:vMerge/>
            <w:tcBorders>
              <w:top w:val="nil"/>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4</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hồ sơ trong quá trình mua bán, vận chuyển; chế biến:</w:t>
            </w:r>
          </w:p>
        </w:tc>
        <w:tc>
          <w:tcPr>
            <w:tcW w:w="2006" w:type="pct"/>
            <w:vMerge w:val="restar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tổng hợp hồ sơ gỗ trong quá trình mua bán, vận chuyển; chế biến theo Mẫu số 06 Phụ lục I ban hành kèm theo Thông tư này.</w:t>
            </w: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a</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kê gỗ theo quy định của pháp luật.</w:t>
            </w:r>
          </w:p>
        </w:tc>
        <w:tc>
          <w:tcPr>
            <w:tcW w:w="2006" w:type="pct"/>
            <w:vMerge/>
            <w:tcBorders>
              <w:top w:val="nil"/>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b</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 sao hồ sơ nguồn gốc gỗ.</w:t>
            </w:r>
          </w:p>
        </w:tc>
        <w:tc>
          <w:tcPr>
            <w:tcW w:w="2006" w:type="pct"/>
            <w:vMerge/>
            <w:tcBorders>
              <w:top w:val="nil"/>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5</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quy định của pháp luật về hồ sơ gỗ đối với doanh nghiệp chế biến và xuất khẩu sử dụng gỗ nguyên liệu do doanh nghiệp tự trồng trên đất của doanh nghiệp:</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spacing w:before="20"/>
              <w:rPr>
                <w:rFonts w:cs="Times New Roman"/>
              </w:rPr>
            </w:pPr>
          </w:p>
        </w:tc>
      </w:tr>
      <w:tr w:rsidR="00A33E42" w:rsidRPr="00F70C0B" w:rsidTr="00A8105D">
        <w:trPr>
          <w:trHeight w:val="864"/>
          <w:jc w:val="center"/>
        </w:trPr>
        <w:tc>
          <w:tcPr>
            <w:tcW w:w="270"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a</w:t>
            </w:r>
          </w:p>
        </w:tc>
        <w:tc>
          <w:tcPr>
            <w:tcW w:w="2724" w:type="pct"/>
            <w:tcBorders>
              <w:top w:val="single" w:sz="4" w:space="0" w:color="auto"/>
              <w:left w:val="single" w:sz="4" w:space="0" w:color="auto"/>
              <w:bottom w:val="nil"/>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Tuân thủ với các quy định pháp luật về quyền sử dụng đất và quyền sử dụng rừng.</w:t>
            </w:r>
          </w:p>
        </w:tc>
        <w:tc>
          <w:tcPr>
            <w:tcW w:w="2006" w:type="pct"/>
            <w:tcBorders>
              <w:top w:val="single" w:sz="4" w:space="0" w:color="auto"/>
              <w:left w:val="single" w:sz="4" w:space="0" w:color="auto"/>
              <w:bottom w:val="nil"/>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Giấy chứng nhận quyền sử dụng đất và quyền sử dụng rừng theo quy định của pháp luật về đất đai và lâm nghiệp.</w:t>
            </w:r>
          </w:p>
        </w:tc>
      </w:tr>
      <w:tr w:rsidR="00A33E42" w:rsidRPr="00F70C0B" w:rsidTr="00A8105D">
        <w:trPr>
          <w:trHeight w:val="864"/>
          <w:jc w:val="center"/>
        </w:trPr>
        <w:tc>
          <w:tcPr>
            <w:tcW w:w="270" w:type="pct"/>
            <w:tcBorders>
              <w:top w:val="single" w:sz="4" w:space="0" w:color="auto"/>
              <w:left w:val="single" w:sz="4" w:space="0" w:color="auto"/>
              <w:bottom w:val="single" w:sz="4" w:space="0" w:color="auto"/>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jc w:val="center"/>
              <w:rPr>
                <w:sz w:val="24"/>
                <w:szCs w:val="24"/>
              </w:rPr>
            </w:pPr>
            <w:r w:rsidRPr="00F70C0B">
              <w:rPr>
                <w:rStyle w:val="Other"/>
                <w:color w:val="000000"/>
                <w:sz w:val="24"/>
                <w:szCs w:val="24"/>
              </w:rPr>
              <w:t>b</w:t>
            </w:r>
          </w:p>
        </w:tc>
        <w:tc>
          <w:tcPr>
            <w:tcW w:w="2724" w:type="pct"/>
            <w:tcBorders>
              <w:top w:val="single" w:sz="4" w:space="0" w:color="auto"/>
              <w:left w:val="single" w:sz="4" w:space="0" w:color="auto"/>
              <w:bottom w:val="single" w:sz="4" w:space="0" w:color="auto"/>
              <w:right w:val="nil"/>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 sao hồ sơ gỗ khai thác theo quy định của pháp luật.</w:t>
            </w:r>
          </w:p>
        </w:tc>
        <w:tc>
          <w:tcPr>
            <w:tcW w:w="2006" w:type="pct"/>
            <w:tcBorders>
              <w:top w:val="single" w:sz="4" w:space="0" w:color="auto"/>
              <w:left w:val="single" w:sz="4" w:space="0" w:color="auto"/>
              <w:bottom w:val="single" w:sz="4" w:space="0" w:color="auto"/>
              <w:right w:val="single" w:sz="4" w:space="0" w:color="auto"/>
            </w:tcBorders>
            <w:shd w:val="clear" w:color="auto" w:fill="FFFFFF"/>
            <w:vAlign w:val="center"/>
          </w:tcPr>
          <w:p w:rsidR="00A33E42" w:rsidRPr="00F70C0B" w:rsidRDefault="00A33E42" w:rsidP="00A8105D">
            <w:pPr>
              <w:pStyle w:val="Other0"/>
              <w:shd w:val="clear" w:color="auto" w:fill="auto"/>
              <w:spacing w:before="20" w:after="0" w:line="240" w:lineRule="auto"/>
              <w:ind w:firstLine="0"/>
              <w:rPr>
                <w:sz w:val="24"/>
                <w:szCs w:val="24"/>
              </w:rPr>
            </w:pPr>
            <w:r w:rsidRPr="00F70C0B">
              <w:rPr>
                <w:rStyle w:val="Other"/>
                <w:color w:val="000000"/>
                <w:sz w:val="24"/>
                <w:szCs w:val="24"/>
                <w:lang w:eastAsia="vi-VN"/>
              </w:rPr>
              <w:t>Bảng tổng hợp hồ sơ gỗ khai thác theo Mẫu số 06 Phụ lục I ban hành kèm theo Thông tư này.</w:t>
            </w:r>
          </w:p>
        </w:tc>
      </w:tr>
    </w:tbl>
    <w:p w:rsidR="00A33E42" w:rsidRPr="00F70C0B" w:rsidRDefault="00A33E42" w:rsidP="00B31218">
      <w:pPr>
        <w:pStyle w:val="Tablecaption0"/>
        <w:shd w:val="clear" w:color="auto" w:fill="auto"/>
        <w:spacing w:before="20"/>
        <w:ind w:firstLine="567"/>
        <w:jc w:val="both"/>
        <w:rPr>
          <w:color w:val="0000FF"/>
        </w:rPr>
      </w:pPr>
      <w:r w:rsidRPr="00F70C0B">
        <w:rPr>
          <w:rStyle w:val="Tablecaption"/>
          <w:b/>
          <w:bCs/>
          <w:i/>
          <w:iCs/>
          <w:color w:val="0000FF"/>
        </w:rPr>
        <w:t xml:space="preserve">Ghi </w:t>
      </w:r>
      <w:r w:rsidRPr="00F70C0B">
        <w:rPr>
          <w:rStyle w:val="Tablecaption"/>
          <w:b/>
          <w:bCs/>
          <w:i/>
          <w:iCs/>
          <w:color w:val="0000FF"/>
          <w:lang w:eastAsia="vi-VN"/>
        </w:rPr>
        <w:t>chú:</w:t>
      </w:r>
    </w:p>
    <w:p w:rsidR="00A33E42" w:rsidRPr="00F70C0B" w:rsidRDefault="00A33E42" w:rsidP="00B31218">
      <w:pPr>
        <w:pStyle w:val="Bodytext20"/>
        <w:shd w:val="clear" w:color="auto" w:fill="auto"/>
        <w:spacing w:before="20" w:after="0"/>
        <w:ind w:firstLine="567"/>
        <w:jc w:val="both"/>
        <w:rPr>
          <w:color w:val="0000FF"/>
        </w:rPr>
      </w:pPr>
      <w:r w:rsidRPr="00F70C0B">
        <w:rPr>
          <w:rStyle w:val="Bodytext2"/>
          <w:i/>
          <w:iCs/>
          <w:color w:val="0000FF"/>
        </w:rPr>
        <w:t xml:space="preserve">1. </w:t>
      </w:r>
      <w:r w:rsidRPr="00F70C0B">
        <w:rPr>
          <w:rStyle w:val="Bodytext2"/>
          <w:i/>
          <w:iCs/>
          <w:color w:val="0000FF"/>
          <w:lang w:eastAsia="vi-VN"/>
        </w:rPr>
        <w:t xml:space="preserve">Tài liệu </w:t>
      </w:r>
      <w:r w:rsidRPr="00F70C0B">
        <w:rPr>
          <w:rStyle w:val="Bodytext2"/>
          <w:i/>
          <w:iCs/>
          <w:color w:val="0000FF"/>
        </w:rPr>
        <w:t xml:space="preserve">theo </w:t>
      </w:r>
      <w:r w:rsidRPr="00F70C0B">
        <w:rPr>
          <w:rStyle w:val="Bodytext2"/>
          <w:i/>
          <w:iCs/>
          <w:color w:val="0000FF"/>
          <w:lang w:eastAsia="vi-VN"/>
        </w:rPr>
        <w:t xml:space="preserve">Mẫu số </w:t>
      </w:r>
      <w:r w:rsidRPr="00F70C0B">
        <w:rPr>
          <w:rStyle w:val="Bodytext2"/>
          <w:i/>
          <w:iCs/>
          <w:color w:val="0000FF"/>
        </w:rPr>
        <w:t xml:space="preserve">01 </w:t>
      </w:r>
      <w:r w:rsidRPr="00F70C0B">
        <w:rPr>
          <w:rStyle w:val="Bodytext2"/>
          <w:i/>
          <w:iCs/>
          <w:color w:val="0000FF"/>
          <w:lang w:eastAsia="vi-VN"/>
        </w:rPr>
        <w:t xml:space="preserve">và bảng tổng hợp hồ sơ </w:t>
      </w:r>
      <w:r w:rsidRPr="00F70C0B">
        <w:rPr>
          <w:rStyle w:val="Bodytext2"/>
          <w:i/>
          <w:iCs/>
          <w:color w:val="0000FF"/>
        </w:rPr>
        <w:t xml:space="preserve">theo </w:t>
      </w:r>
      <w:r w:rsidRPr="00F70C0B">
        <w:rPr>
          <w:rStyle w:val="Bodytext2"/>
          <w:i/>
          <w:iCs/>
          <w:color w:val="0000FF"/>
          <w:lang w:eastAsia="vi-VN"/>
        </w:rPr>
        <w:t xml:space="preserve">Mẫu số </w:t>
      </w:r>
      <w:r w:rsidRPr="00F70C0B">
        <w:rPr>
          <w:rStyle w:val="Bodytext2"/>
          <w:i/>
          <w:iCs/>
          <w:color w:val="0000FF"/>
        </w:rPr>
        <w:t xml:space="preserve">06 </w:t>
      </w:r>
      <w:r w:rsidRPr="00F70C0B">
        <w:rPr>
          <w:rStyle w:val="Bodytext2"/>
          <w:i/>
          <w:iCs/>
          <w:color w:val="0000FF"/>
          <w:lang w:eastAsia="vi-VN"/>
        </w:rPr>
        <w:t xml:space="preserve">Phụ lục </w:t>
      </w:r>
      <w:r w:rsidRPr="00F70C0B">
        <w:rPr>
          <w:rStyle w:val="Bodytext2"/>
          <w:i/>
          <w:iCs/>
          <w:color w:val="0000FF"/>
        </w:rPr>
        <w:t xml:space="preserve">I ban </w:t>
      </w:r>
      <w:r w:rsidRPr="00F70C0B">
        <w:rPr>
          <w:rStyle w:val="Bodytext2"/>
          <w:i/>
          <w:iCs/>
          <w:color w:val="0000FF"/>
          <w:lang w:eastAsia="vi-VN"/>
        </w:rPr>
        <w:t xml:space="preserve">hành kèm </w:t>
      </w:r>
      <w:r w:rsidRPr="00F70C0B">
        <w:rPr>
          <w:rStyle w:val="Bodytext2"/>
          <w:i/>
          <w:iCs/>
          <w:color w:val="0000FF"/>
        </w:rPr>
        <w:t xml:space="preserve">theo </w:t>
      </w:r>
      <w:r w:rsidRPr="00F70C0B">
        <w:rPr>
          <w:rStyle w:val="Bodytext2"/>
          <w:i/>
          <w:iCs/>
          <w:color w:val="0000FF"/>
          <w:lang w:eastAsia="vi-VN"/>
        </w:rPr>
        <w:t xml:space="preserve">Thông tư này là bản chính; các tài liệu khác là bản phô tô hoặc bản chụp. Trường hợp đăng ký trực tuyến, </w:t>
      </w:r>
      <w:r w:rsidRPr="00F70C0B">
        <w:rPr>
          <w:rStyle w:val="Bodytext2"/>
          <w:i/>
          <w:iCs/>
          <w:color w:val="0000FF"/>
        </w:rPr>
        <w:t xml:space="preserve">doanh </w:t>
      </w:r>
      <w:r w:rsidRPr="00F70C0B">
        <w:rPr>
          <w:rStyle w:val="Bodytext2"/>
          <w:i/>
          <w:iCs/>
          <w:color w:val="0000FF"/>
          <w:lang w:eastAsia="vi-VN"/>
        </w:rPr>
        <w:t xml:space="preserve">nghiệp nghiệp </w:t>
      </w:r>
      <w:r w:rsidRPr="00F70C0B">
        <w:rPr>
          <w:rStyle w:val="Bodytext2"/>
          <w:i/>
          <w:iCs/>
          <w:color w:val="0000FF"/>
        </w:rPr>
        <w:t xml:space="preserve">scan, </w:t>
      </w:r>
      <w:r w:rsidRPr="00F70C0B">
        <w:rPr>
          <w:rStyle w:val="Bodytext2"/>
          <w:i/>
          <w:iCs/>
          <w:color w:val="0000FF"/>
          <w:lang w:eastAsia="vi-VN"/>
        </w:rPr>
        <w:t xml:space="preserve">đính kèm lên Hệ thống thông </w:t>
      </w:r>
      <w:r w:rsidRPr="00F70C0B">
        <w:rPr>
          <w:rStyle w:val="Bodytext2"/>
          <w:i/>
          <w:iCs/>
          <w:color w:val="0000FF"/>
        </w:rPr>
        <w:t xml:space="preserve">tin </w:t>
      </w:r>
      <w:r w:rsidRPr="00F70C0B">
        <w:rPr>
          <w:rStyle w:val="Bodytext2"/>
          <w:i/>
          <w:iCs/>
          <w:color w:val="0000FF"/>
          <w:lang w:eastAsia="vi-VN"/>
        </w:rPr>
        <w:t xml:space="preserve">phân loại </w:t>
      </w:r>
      <w:r w:rsidRPr="00F70C0B">
        <w:rPr>
          <w:rStyle w:val="Bodytext2"/>
          <w:i/>
          <w:iCs/>
          <w:color w:val="0000FF"/>
        </w:rPr>
        <w:t xml:space="preserve">doanh </w:t>
      </w:r>
      <w:r w:rsidRPr="00F70C0B">
        <w:rPr>
          <w:rStyle w:val="Bodytext2"/>
          <w:i/>
          <w:iCs/>
          <w:color w:val="0000FF"/>
          <w:lang w:eastAsia="vi-VN"/>
        </w:rPr>
        <w:t>nghiệ</w:t>
      </w:r>
      <w:bookmarkStart w:id="2" w:name="_GoBack"/>
      <w:bookmarkEnd w:id="2"/>
      <w:r w:rsidRPr="00F70C0B">
        <w:rPr>
          <w:rStyle w:val="Bodytext2"/>
          <w:i/>
          <w:iCs/>
          <w:color w:val="0000FF"/>
          <w:lang w:eastAsia="vi-VN"/>
        </w:rPr>
        <w:t xml:space="preserve">p làm căn cứ chứng </w:t>
      </w:r>
      <w:r w:rsidRPr="00F70C0B">
        <w:rPr>
          <w:rStyle w:val="Bodytext2"/>
          <w:i/>
          <w:iCs/>
          <w:color w:val="0000FF"/>
        </w:rPr>
        <w:t xml:space="preserve">minh </w:t>
      </w:r>
      <w:r w:rsidRPr="00F70C0B">
        <w:rPr>
          <w:rStyle w:val="Bodytext2"/>
          <w:i/>
          <w:iCs/>
          <w:color w:val="0000FF"/>
          <w:lang w:eastAsia="vi-VN"/>
        </w:rPr>
        <w:t>tuân thủ tiêu chí.</w:t>
      </w:r>
    </w:p>
    <w:p w:rsidR="00A33E42" w:rsidRPr="00F70C0B" w:rsidRDefault="00A33E42" w:rsidP="00B31218">
      <w:pPr>
        <w:pStyle w:val="Bodytext20"/>
        <w:shd w:val="clear" w:color="auto" w:fill="auto"/>
        <w:spacing w:before="20" w:after="0"/>
        <w:ind w:firstLine="567"/>
        <w:jc w:val="both"/>
        <w:rPr>
          <w:color w:val="0000FF"/>
        </w:rPr>
      </w:pPr>
      <w:r w:rsidRPr="00F70C0B">
        <w:rPr>
          <w:rStyle w:val="Bodytext2"/>
          <w:i/>
          <w:iCs/>
          <w:color w:val="0000FF"/>
        </w:rPr>
        <w:t xml:space="preserve">2. </w:t>
      </w:r>
      <w:r w:rsidRPr="00F70C0B">
        <w:rPr>
          <w:rStyle w:val="Bodytext2"/>
          <w:i/>
          <w:iCs/>
          <w:color w:val="0000FF"/>
          <w:lang w:eastAsia="vi-VN"/>
        </w:rPr>
        <w:t xml:space="preserve">Sổ nhập, xuất lâm sản đóng dấu </w:t>
      </w:r>
      <w:r w:rsidRPr="00F70C0B">
        <w:rPr>
          <w:rStyle w:val="Bodytext2"/>
          <w:i/>
          <w:iCs/>
          <w:color w:val="0000FF"/>
        </w:rPr>
        <w:t xml:space="preserve">treo </w:t>
      </w:r>
      <w:r w:rsidRPr="00F70C0B">
        <w:rPr>
          <w:rStyle w:val="Bodytext2"/>
          <w:i/>
          <w:iCs/>
          <w:color w:val="0000FF"/>
          <w:lang w:eastAsia="vi-VN"/>
        </w:rPr>
        <w:t xml:space="preserve">của </w:t>
      </w:r>
      <w:r w:rsidRPr="00F70C0B">
        <w:rPr>
          <w:rStyle w:val="Bodytext2"/>
          <w:i/>
          <w:iCs/>
          <w:color w:val="0000FF"/>
        </w:rPr>
        <w:t xml:space="preserve">doanh </w:t>
      </w:r>
      <w:r w:rsidRPr="00F70C0B">
        <w:rPr>
          <w:rStyle w:val="Bodytext2"/>
          <w:i/>
          <w:iCs/>
          <w:color w:val="0000FF"/>
          <w:lang w:eastAsia="vi-VN"/>
        </w:rPr>
        <w:t xml:space="preserve">nghiệp </w:t>
      </w:r>
      <w:r w:rsidRPr="00F70C0B">
        <w:rPr>
          <w:rStyle w:val="Bodytext2"/>
          <w:i/>
          <w:iCs/>
          <w:color w:val="0000FF"/>
        </w:rPr>
        <w:t xml:space="preserve">khi </w:t>
      </w:r>
      <w:r w:rsidRPr="00F70C0B">
        <w:rPr>
          <w:rStyle w:val="Bodytext2"/>
          <w:i/>
          <w:iCs/>
          <w:color w:val="0000FF"/>
          <w:lang w:eastAsia="vi-VN"/>
        </w:rPr>
        <w:t xml:space="preserve">nộp trực tiếp; trường hợp nộp trực tuyến </w:t>
      </w:r>
      <w:r w:rsidRPr="00F70C0B">
        <w:rPr>
          <w:rStyle w:val="Bodytext2"/>
          <w:i/>
          <w:iCs/>
          <w:color w:val="0000FF"/>
        </w:rPr>
        <w:t xml:space="preserve">theo quy </w:t>
      </w:r>
      <w:r w:rsidRPr="00F70C0B">
        <w:rPr>
          <w:rStyle w:val="Bodytext2"/>
          <w:i/>
          <w:iCs/>
          <w:color w:val="0000FF"/>
          <w:lang w:eastAsia="vi-VN"/>
        </w:rPr>
        <w:t xml:space="preserve">định tại khoản </w:t>
      </w:r>
      <w:r w:rsidRPr="00F70C0B">
        <w:rPr>
          <w:rStyle w:val="Bodytext2"/>
          <w:i/>
          <w:iCs/>
          <w:color w:val="0000FF"/>
        </w:rPr>
        <w:t xml:space="preserve">1 </w:t>
      </w:r>
      <w:r w:rsidRPr="00F70C0B">
        <w:rPr>
          <w:rStyle w:val="Bodytext2"/>
          <w:i/>
          <w:iCs/>
          <w:color w:val="0000FF"/>
          <w:lang w:eastAsia="vi-VN"/>
        </w:rPr>
        <w:t xml:space="preserve">Điều </w:t>
      </w:r>
      <w:r w:rsidRPr="00F70C0B">
        <w:rPr>
          <w:rStyle w:val="Bodytext2"/>
          <w:i/>
          <w:iCs/>
          <w:color w:val="0000FF"/>
        </w:rPr>
        <w:t xml:space="preserve">4 </w:t>
      </w:r>
      <w:r w:rsidRPr="00F70C0B">
        <w:rPr>
          <w:rStyle w:val="Bodytext2"/>
          <w:i/>
          <w:iCs/>
          <w:color w:val="0000FF"/>
          <w:lang w:eastAsia="vi-VN"/>
        </w:rPr>
        <w:t xml:space="preserve">Thông tư này thì </w:t>
      </w:r>
      <w:r w:rsidRPr="00F70C0B">
        <w:rPr>
          <w:rStyle w:val="Bodytext2"/>
          <w:i/>
          <w:iCs/>
          <w:color w:val="0000FF"/>
        </w:rPr>
        <w:t xml:space="preserve">doanh </w:t>
      </w:r>
      <w:r w:rsidRPr="00F70C0B">
        <w:rPr>
          <w:rStyle w:val="Bodytext2"/>
          <w:i/>
          <w:iCs/>
          <w:color w:val="0000FF"/>
          <w:lang w:eastAsia="vi-VN"/>
        </w:rPr>
        <w:t>nghiệp chốt số liệu, ký, đóng dấu điện tử.</w:t>
      </w:r>
    </w:p>
    <w:p w:rsidR="00E939CC" w:rsidRDefault="00E939CC" w:rsidP="00B31218"/>
    <w:sectPr w:rsidR="00E939CC" w:rsidSect="00907085">
      <w:headerReference w:type="default" r:id="rId7"/>
      <w:pgSz w:w="16840" w:h="11900" w:orient="landscape" w:code="9"/>
      <w:pgMar w:top="1134" w:right="851" w:bottom="851" w:left="851" w:header="454" w:footer="4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71" w:rsidRDefault="00694971" w:rsidP="00907085">
      <w:r>
        <w:separator/>
      </w:r>
    </w:p>
  </w:endnote>
  <w:endnote w:type="continuationSeparator" w:id="0">
    <w:p w:rsidR="00694971" w:rsidRDefault="00694971" w:rsidP="0090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71" w:rsidRDefault="00694971" w:rsidP="00907085">
      <w:r>
        <w:separator/>
      </w:r>
    </w:p>
  </w:footnote>
  <w:footnote w:type="continuationSeparator" w:id="0">
    <w:p w:rsidR="00694971" w:rsidRDefault="00694971" w:rsidP="0090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639132"/>
      <w:docPartObj>
        <w:docPartGallery w:val="Page Numbers (Top of Page)"/>
        <w:docPartUnique/>
      </w:docPartObj>
    </w:sdtPr>
    <w:sdtEndPr>
      <w:rPr>
        <w:noProof/>
      </w:rPr>
    </w:sdtEndPr>
    <w:sdtContent>
      <w:p w:rsidR="00907085" w:rsidRDefault="00907085" w:rsidP="00907085">
        <w:pPr>
          <w:pStyle w:val="Header"/>
          <w:jc w:val="center"/>
        </w:pPr>
        <w:r>
          <w:fldChar w:fldCharType="begin"/>
        </w:r>
        <w:r>
          <w:instrText xml:space="preserve"> PAGE   \* MERGEFORMAT </w:instrText>
        </w:r>
        <w:r>
          <w:fldChar w:fldCharType="separate"/>
        </w:r>
        <w:r>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drawingGridHorizontalSpacing w:val="133"/>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42"/>
    <w:rsid w:val="002600B6"/>
    <w:rsid w:val="00562CA6"/>
    <w:rsid w:val="00694971"/>
    <w:rsid w:val="00867604"/>
    <w:rsid w:val="008769FD"/>
    <w:rsid w:val="00907085"/>
    <w:rsid w:val="00A33E42"/>
    <w:rsid w:val="00B31218"/>
    <w:rsid w:val="00BC5450"/>
    <w:rsid w:val="00DD1350"/>
    <w:rsid w:val="00E03228"/>
    <w:rsid w:val="00E939CC"/>
    <w:rsid w:val="00F7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76"/>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A33E42"/>
    <w:rPr>
      <w:rFonts w:cs="Times New Roman"/>
      <w:shd w:val="clear" w:color="auto" w:fill="FFFFFF"/>
    </w:rPr>
  </w:style>
  <w:style w:type="character" w:customStyle="1" w:styleId="Heading1">
    <w:name w:val="Heading #1_"/>
    <w:link w:val="Heading10"/>
    <w:uiPriority w:val="99"/>
    <w:rsid w:val="00A33E42"/>
    <w:rPr>
      <w:rFonts w:cs="Times New Roman"/>
      <w:b/>
      <w:bCs/>
      <w:szCs w:val="28"/>
      <w:shd w:val="clear" w:color="auto" w:fill="FFFFFF"/>
    </w:rPr>
  </w:style>
  <w:style w:type="character" w:customStyle="1" w:styleId="Other">
    <w:name w:val="Other_"/>
    <w:link w:val="Other0"/>
    <w:uiPriority w:val="99"/>
    <w:rsid w:val="00A33E42"/>
    <w:rPr>
      <w:rFonts w:cs="Times New Roman"/>
      <w:szCs w:val="28"/>
      <w:shd w:val="clear" w:color="auto" w:fill="FFFFFF"/>
    </w:rPr>
  </w:style>
  <w:style w:type="character" w:customStyle="1" w:styleId="Tablecaption">
    <w:name w:val="Table caption_"/>
    <w:link w:val="Tablecaption0"/>
    <w:uiPriority w:val="99"/>
    <w:rsid w:val="00A33E42"/>
    <w:rPr>
      <w:rFonts w:cs="Times New Roman"/>
      <w:shd w:val="clear" w:color="auto" w:fill="FFFFFF"/>
    </w:rPr>
  </w:style>
  <w:style w:type="paragraph" w:customStyle="1" w:styleId="Bodytext20">
    <w:name w:val="Body text (2)"/>
    <w:basedOn w:val="Normal"/>
    <w:link w:val="Bodytext2"/>
    <w:uiPriority w:val="99"/>
    <w:rsid w:val="00A33E42"/>
    <w:pPr>
      <w:widowControl w:val="0"/>
      <w:shd w:val="clear" w:color="auto" w:fill="FFFFFF"/>
      <w:spacing w:after="100"/>
      <w:ind w:firstLine="740"/>
    </w:pPr>
    <w:rPr>
      <w:rFonts w:cs="Times New Roman"/>
    </w:rPr>
  </w:style>
  <w:style w:type="paragraph" w:customStyle="1" w:styleId="Heading10">
    <w:name w:val="Heading #1"/>
    <w:basedOn w:val="Normal"/>
    <w:link w:val="Heading1"/>
    <w:uiPriority w:val="99"/>
    <w:rsid w:val="00A33E42"/>
    <w:pPr>
      <w:widowControl w:val="0"/>
      <w:shd w:val="clear" w:color="auto" w:fill="FFFFFF"/>
      <w:spacing w:after="130" w:line="247" w:lineRule="auto"/>
      <w:ind w:firstLine="0"/>
      <w:jc w:val="center"/>
      <w:outlineLvl w:val="0"/>
    </w:pPr>
    <w:rPr>
      <w:rFonts w:cs="Times New Roman"/>
      <w:b/>
      <w:bCs/>
      <w:szCs w:val="28"/>
    </w:rPr>
  </w:style>
  <w:style w:type="paragraph" w:customStyle="1" w:styleId="Other0">
    <w:name w:val="Other"/>
    <w:basedOn w:val="Normal"/>
    <w:link w:val="Other"/>
    <w:uiPriority w:val="99"/>
    <w:rsid w:val="00A33E42"/>
    <w:pPr>
      <w:widowControl w:val="0"/>
      <w:shd w:val="clear" w:color="auto" w:fill="FFFFFF"/>
      <w:spacing w:after="110" w:line="269" w:lineRule="auto"/>
      <w:ind w:firstLine="400"/>
    </w:pPr>
    <w:rPr>
      <w:rFonts w:cs="Times New Roman"/>
      <w:szCs w:val="28"/>
    </w:rPr>
  </w:style>
  <w:style w:type="paragraph" w:customStyle="1" w:styleId="Tablecaption0">
    <w:name w:val="Table caption"/>
    <w:basedOn w:val="Normal"/>
    <w:link w:val="Tablecaption"/>
    <w:uiPriority w:val="99"/>
    <w:rsid w:val="00A33E42"/>
    <w:pPr>
      <w:widowControl w:val="0"/>
      <w:shd w:val="clear" w:color="auto" w:fill="FFFFFF"/>
      <w:ind w:firstLine="0"/>
    </w:pPr>
    <w:rPr>
      <w:rFonts w:cs="Times New Roman"/>
    </w:rPr>
  </w:style>
  <w:style w:type="paragraph" w:styleId="Header">
    <w:name w:val="header"/>
    <w:basedOn w:val="Normal"/>
    <w:link w:val="HeaderChar"/>
    <w:uiPriority w:val="99"/>
    <w:unhideWhenUsed/>
    <w:rsid w:val="00907085"/>
    <w:pPr>
      <w:tabs>
        <w:tab w:val="center" w:pos="4680"/>
        <w:tab w:val="right" w:pos="9360"/>
      </w:tabs>
    </w:pPr>
  </w:style>
  <w:style w:type="character" w:customStyle="1" w:styleId="HeaderChar">
    <w:name w:val="Header Char"/>
    <w:basedOn w:val="DefaultParagraphFont"/>
    <w:link w:val="Header"/>
    <w:uiPriority w:val="99"/>
    <w:rsid w:val="00907085"/>
  </w:style>
  <w:style w:type="paragraph" w:styleId="Footer">
    <w:name w:val="footer"/>
    <w:basedOn w:val="Normal"/>
    <w:link w:val="FooterChar"/>
    <w:uiPriority w:val="99"/>
    <w:unhideWhenUsed/>
    <w:rsid w:val="00907085"/>
    <w:pPr>
      <w:tabs>
        <w:tab w:val="center" w:pos="4680"/>
        <w:tab w:val="right" w:pos="9360"/>
      </w:tabs>
    </w:pPr>
  </w:style>
  <w:style w:type="character" w:customStyle="1" w:styleId="FooterChar">
    <w:name w:val="Footer Char"/>
    <w:basedOn w:val="DefaultParagraphFont"/>
    <w:link w:val="Footer"/>
    <w:uiPriority w:val="99"/>
    <w:rsid w:val="00907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76"/>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A33E42"/>
    <w:rPr>
      <w:rFonts w:cs="Times New Roman"/>
      <w:shd w:val="clear" w:color="auto" w:fill="FFFFFF"/>
    </w:rPr>
  </w:style>
  <w:style w:type="character" w:customStyle="1" w:styleId="Heading1">
    <w:name w:val="Heading #1_"/>
    <w:link w:val="Heading10"/>
    <w:uiPriority w:val="99"/>
    <w:rsid w:val="00A33E42"/>
    <w:rPr>
      <w:rFonts w:cs="Times New Roman"/>
      <w:b/>
      <w:bCs/>
      <w:szCs w:val="28"/>
      <w:shd w:val="clear" w:color="auto" w:fill="FFFFFF"/>
    </w:rPr>
  </w:style>
  <w:style w:type="character" w:customStyle="1" w:styleId="Other">
    <w:name w:val="Other_"/>
    <w:link w:val="Other0"/>
    <w:uiPriority w:val="99"/>
    <w:rsid w:val="00A33E42"/>
    <w:rPr>
      <w:rFonts w:cs="Times New Roman"/>
      <w:szCs w:val="28"/>
      <w:shd w:val="clear" w:color="auto" w:fill="FFFFFF"/>
    </w:rPr>
  </w:style>
  <w:style w:type="character" w:customStyle="1" w:styleId="Tablecaption">
    <w:name w:val="Table caption_"/>
    <w:link w:val="Tablecaption0"/>
    <w:uiPriority w:val="99"/>
    <w:rsid w:val="00A33E42"/>
    <w:rPr>
      <w:rFonts w:cs="Times New Roman"/>
      <w:shd w:val="clear" w:color="auto" w:fill="FFFFFF"/>
    </w:rPr>
  </w:style>
  <w:style w:type="paragraph" w:customStyle="1" w:styleId="Bodytext20">
    <w:name w:val="Body text (2)"/>
    <w:basedOn w:val="Normal"/>
    <w:link w:val="Bodytext2"/>
    <w:uiPriority w:val="99"/>
    <w:rsid w:val="00A33E42"/>
    <w:pPr>
      <w:widowControl w:val="0"/>
      <w:shd w:val="clear" w:color="auto" w:fill="FFFFFF"/>
      <w:spacing w:after="100"/>
      <w:ind w:firstLine="740"/>
    </w:pPr>
    <w:rPr>
      <w:rFonts w:cs="Times New Roman"/>
    </w:rPr>
  </w:style>
  <w:style w:type="paragraph" w:customStyle="1" w:styleId="Heading10">
    <w:name w:val="Heading #1"/>
    <w:basedOn w:val="Normal"/>
    <w:link w:val="Heading1"/>
    <w:uiPriority w:val="99"/>
    <w:rsid w:val="00A33E42"/>
    <w:pPr>
      <w:widowControl w:val="0"/>
      <w:shd w:val="clear" w:color="auto" w:fill="FFFFFF"/>
      <w:spacing w:after="130" w:line="247" w:lineRule="auto"/>
      <w:ind w:firstLine="0"/>
      <w:jc w:val="center"/>
      <w:outlineLvl w:val="0"/>
    </w:pPr>
    <w:rPr>
      <w:rFonts w:cs="Times New Roman"/>
      <w:b/>
      <w:bCs/>
      <w:szCs w:val="28"/>
    </w:rPr>
  </w:style>
  <w:style w:type="paragraph" w:customStyle="1" w:styleId="Other0">
    <w:name w:val="Other"/>
    <w:basedOn w:val="Normal"/>
    <w:link w:val="Other"/>
    <w:uiPriority w:val="99"/>
    <w:rsid w:val="00A33E42"/>
    <w:pPr>
      <w:widowControl w:val="0"/>
      <w:shd w:val="clear" w:color="auto" w:fill="FFFFFF"/>
      <w:spacing w:after="110" w:line="269" w:lineRule="auto"/>
      <w:ind w:firstLine="400"/>
    </w:pPr>
    <w:rPr>
      <w:rFonts w:cs="Times New Roman"/>
      <w:szCs w:val="28"/>
    </w:rPr>
  </w:style>
  <w:style w:type="paragraph" w:customStyle="1" w:styleId="Tablecaption0">
    <w:name w:val="Table caption"/>
    <w:basedOn w:val="Normal"/>
    <w:link w:val="Tablecaption"/>
    <w:uiPriority w:val="99"/>
    <w:rsid w:val="00A33E42"/>
    <w:pPr>
      <w:widowControl w:val="0"/>
      <w:shd w:val="clear" w:color="auto" w:fill="FFFFFF"/>
      <w:ind w:firstLine="0"/>
    </w:pPr>
    <w:rPr>
      <w:rFonts w:cs="Times New Roman"/>
    </w:rPr>
  </w:style>
  <w:style w:type="paragraph" w:styleId="Header">
    <w:name w:val="header"/>
    <w:basedOn w:val="Normal"/>
    <w:link w:val="HeaderChar"/>
    <w:uiPriority w:val="99"/>
    <w:unhideWhenUsed/>
    <w:rsid w:val="00907085"/>
    <w:pPr>
      <w:tabs>
        <w:tab w:val="center" w:pos="4680"/>
        <w:tab w:val="right" w:pos="9360"/>
      </w:tabs>
    </w:pPr>
  </w:style>
  <w:style w:type="character" w:customStyle="1" w:styleId="HeaderChar">
    <w:name w:val="Header Char"/>
    <w:basedOn w:val="DefaultParagraphFont"/>
    <w:link w:val="Header"/>
    <w:uiPriority w:val="99"/>
    <w:rsid w:val="00907085"/>
  </w:style>
  <w:style w:type="paragraph" w:styleId="Footer">
    <w:name w:val="footer"/>
    <w:basedOn w:val="Normal"/>
    <w:link w:val="FooterChar"/>
    <w:uiPriority w:val="99"/>
    <w:unhideWhenUsed/>
    <w:rsid w:val="00907085"/>
    <w:pPr>
      <w:tabs>
        <w:tab w:val="center" w:pos="4680"/>
        <w:tab w:val="right" w:pos="9360"/>
      </w:tabs>
    </w:pPr>
  </w:style>
  <w:style w:type="character" w:customStyle="1" w:styleId="FooterChar">
    <w:name w:val="Footer Char"/>
    <w:basedOn w:val="DefaultParagraphFont"/>
    <w:link w:val="Footer"/>
    <w:uiPriority w:val="99"/>
    <w:rsid w:val="0090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2022-12-05T03:34:00Z</dcterms:created>
  <dcterms:modified xsi:type="dcterms:W3CDTF">2022-12-05T11:21:00Z</dcterms:modified>
</cp:coreProperties>
</file>